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CFC9" w14:textId="77777777" w:rsidR="00910D22" w:rsidRPr="00910D22" w:rsidRDefault="00510463" w:rsidP="00910D22">
      <w:pPr>
        <w:snapToGrid w:val="0"/>
        <w:jc w:val="center"/>
        <w:rPr>
          <w:rFonts w:ascii="Times New Roman" w:eastAsia="標楷體" w:hAnsi="Times New Roman" w:cs="Times New Roman"/>
          <w:caps/>
          <w:sz w:val="32"/>
        </w:rPr>
      </w:pPr>
      <w:r w:rsidRPr="00910D22">
        <w:rPr>
          <w:rFonts w:ascii="Times New Roman" w:eastAsia="標楷體" w:hAnsi="Times New Roman" w:cs="Times New Roman"/>
          <w:caps/>
          <w:sz w:val="32"/>
        </w:rPr>
        <w:t>National Taiwan University</w:t>
      </w:r>
    </w:p>
    <w:p w14:paraId="15B714DE" w14:textId="77777777" w:rsidR="00910D22" w:rsidRDefault="00510463" w:rsidP="00910D22">
      <w:pPr>
        <w:snapToGrid w:val="0"/>
        <w:jc w:val="center"/>
        <w:rPr>
          <w:rFonts w:ascii="Times New Roman" w:eastAsia="標楷體" w:hAnsi="Times New Roman" w:cs="Times New Roman"/>
          <w:sz w:val="32"/>
        </w:rPr>
      </w:pPr>
      <w:r w:rsidRPr="00910D22">
        <w:rPr>
          <w:rFonts w:ascii="Times New Roman" w:eastAsia="標楷體" w:hAnsi="Times New Roman" w:cs="Times New Roman"/>
          <w:sz w:val="32"/>
        </w:rPr>
        <w:t xml:space="preserve">Computer and Information Networking Center  </w:t>
      </w:r>
    </w:p>
    <w:p w14:paraId="10F89096" w14:textId="5BDD2C17" w:rsidR="00872A8B" w:rsidRPr="00910D22" w:rsidRDefault="00510463" w:rsidP="00910D22">
      <w:pPr>
        <w:snapToGrid w:val="0"/>
        <w:spacing w:after="240"/>
        <w:jc w:val="center"/>
        <w:rPr>
          <w:rFonts w:ascii="Times New Roman" w:eastAsia="標楷體" w:hAnsi="Times New Roman" w:cs="Times New Roman"/>
        </w:rPr>
      </w:pPr>
      <w:r w:rsidRPr="00910D22">
        <w:rPr>
          <w:rFonts w:ascii="Times New Roman" w:eastAsia="標楷體" w:hAnsi="Times New Roman" w:cs="Times New Roman"/>
          <w:sz w:val="32"/>
        </w:rPr>
        <w:t>Application for Deletion of Network Service Account (Faculty and Staff Only)</w:t>
      </w:r>
    </w:p>
    <w:tbl>
      <w:tblPr>
        <w:tblStyle w:val="a3"/>
        <w:tblW w:w="9215" w:type="dxa"/>
        <w:tblInd w:w="-176" w:type="dxa"/>
        <w:tblLook w:val="04A0" w:firstRow="1" w:lastRow="0" w:firstColumn="1" w:lastColumn="0" w:noHBand="0" w:noVBand="1"/>
      </w:tblPr>
      <w:tblGrid>
        <w:gridCol w:w="1844"/>
        <w:gridCol w:w="2693"/>
        <w:gridCol w:w="1701"/>
        <w:gridCol w:w="2977"/>
      </w:tblGrid>
      <w:tr w:rsidR="00872A8B" w:rsidRPr="00910D22" w14:paraId="22DC47A8" w14:textId="77777777" w:rsidTr="00910D22">
        <w:trPr>
          <w:trHeight w:val="537"/>
        </w:trPr>
        <w:tc>
          <w:tcPr>
            <w:tcW w:w="1844" w:type="dxa"/>
            <w:vAlign w:val="center"/>
          </w:tcPr>
          <w:p w14:paraId="2ACF7FB1" w14:textId="77777777"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Application Date</w:t>
            </w:r>
          </w:p>
        </w:tc>
        <w:tc>
          <w:tcPr>
            <w:tcW w:w="2693" w:type="dxa"/>
          </w:tcPr>
          <w:p w14:paraId="756281CA" w14:textId="77777777" w:rsidR="00872A8B" w:rsidRPr="00910D22" w:rsidRDefault="00872A8B" w:rsidP="00910D22">
            <w:pPr>
              <w:snapToGrid w:val="0"/>
              <w:rPr>
                <w:rFonts w:ascii="Times New Roman" w:eastAsia="標楷體" w:hAnsi="Times New Roman" w:cs="Times New Roman"/>
              </w:rPr>
            </w:pPr>
          </w:p>
        </w:tc>
        <w:tc>
          <w:tcPr>
            <w:tcW w:w="1701" w:type="dxa"/>
            <w:vAlign w:val="center"/>
          </w:tcPr>
          <w:p w14:paraId="5F1A1014" w14:textId="77777777"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User</w:t>
            </w:r>
          </w:p>
        </w:tc>
        <w:tc>
          <w:tcPr>
            <w:tcW w:w="2977" w:type="dxa"/>
          </w:tcPr>
          <w:p w14:paraId="05E7A61D" w14:textId="77777777" w:rsidR="00872A8B" w:rsidRPr="00910D22" w:rsidRDefault="00872A8B" w:rsidP="00910D22">
            <w:pPr>
              <w:snapToGrid w:val="0"/>
              <w:rPr>
                <w:rFonts w:ascii="Times New Roman" w:eastAsia="標楷體" w:hAnsi="Times New Roman" w:cs="Times New Roman"/>
              </w:rPr>
            </w:pPr>
          </w:p>
        </w:tc>
      </w:tr>
      <w:tr w:rsidR="00872A8B" w:rsidRPr="00910D22" w14:paraId="1CA175B5" w14:textId="77777777" w:rsidTr="00910D22">
        <w:trPr>
          <w:trHeight w:val="340"/>
        </w:trPr>
        <w:tc>
          <w:tcPr>
            <w:tcW w:w="1844" w:type="dxa"/>
            <w:vMerge w:val="restart"/>
            <w:vAlign w:val="center"/>
          </w:tcPr>
          <w:p w14:paraId="77B5B672" w14:textId="77777777"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Account to be Deleted</w:t>
            </w:r>
          </w:p>
        </w:tc>
        <w:tc>
          <w:tcPr>
            <w:tcW w:w="2693" w:type="dxa"/>
            <w:vMerge w:val="restart"/>
          </w:tcPr>
          <w:p w14:paraId="11251905" w14:textId="77777777" w:rsidR="00872A8B" w:rsidRPr="00910D22" w:rsidRDefault="00872A8B" w:rsidP="00910D22">
            <w:pPr>
              <w:snapToGrid w:val="0"/>
              <w:rPr>
                <w:rFonts w:ascii="Times New Roman" w:eastAsia="標楷體" w:hAnsi="Times New Roman" w:cs="Times New Roman"/>
              </w:rPr>
            </w:pPr>
          </w:p>
        </w:tc>
        <w:tc>
          <w:tcPr>
            <w:tcW w:w="1701" w:type="dxa"/>
            <w:vAlign w:val="center"/>
          </w:tcPr>
          <w:p w14:paraId="573D93FB" w14:textId="77777777"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Employee ID</w:t>
            </w:r>
          </w:p>
        </w:tc>
        <w:tc>
          <w:tcPr>
            <w:tcW w:w="2977" w:type="dxa"/>
          </w:tcPr>
          <w:p w14:paraId="7062E2BE" w14:textId="77777777" w:rsidR="00872A8B" w:rsidRPr="00910D22" w:rsidRDefault="00872A8B" w:rsidP="00910D22">
            <w:pPr>
              <w:snapToGrid w:val="0"/>
              <w:rPr>
                <w:rFonts w:ascii="Times New Roman" w:eastAsia="標楷體" w:hAnsi="Times New Roman" w:cs="Times New Roman"/>
              </w:rPr>
            </w:pPr>
          </w:p>
        </w:tc>
      </w:tr>
      <w:tr w:rsidR="00872A8B" w:rsidRPr="00910D22" w14:paraId="6BB9B7EE" w14:textId="77777777" w:rsidTr="00910D22">
        <w:trPr>
          <w:trHeight w:val="340"/>
        </w:trPr>
        <w:tc>
          <w:tcPr>
            <w:tcW w:w="1844" w:type="dxa"/>
            <w:vMerge/>
            <w:vAlign w:val="center"/>
          </w:tcPr>
          <w:p w14:paraId="792D5CC5" w14:textId="77777777" w:rsidR="00872A8B" w:rsidRPr="00910D22" w:rsidRDefault="00872A8B" w:rsidP="00910D22">
            <w:pPr>
              <w:snapToGrid w:val="0"/>
              <w:jc w:val="center"/>
              <w:rPr>
                <w:rFonts w:ascii="Times New Roman" w:eastAsia="標楷體" w:hAnsi="Times New Roman" w:cs="Times New Roman"/>
              </w:rPr>
            </w:pPr>
          </w:p>
        </w:tc>
        <w:tc>
          <w:tcPr>
            <w:tcW w:w="2693" w:type="dxa"/>
            <w:vMerge/>
          </w:tcPr>
          <w:p w14:paraId="5C4CDE5C" w14:textId="77777777" w:rsidR="00872A8B" w:rsidRPr="00910D22" w:rsidRDefault="00872A8B" w:rsidP="00910D22">
            <w:pPr>
              <w:snapToGrid w:val="0"/>
              <w:rPr>
                <w:rFonts w:ascii="Times New Roman" w:eastAsia="標楷體" w:hAnsi="Times New Roman" w:cs="Times New Roman"/>
              </w:rPr>
            </w:pPr>
          </w:p>
        </w:tc>
        <w:tc>
          <w:tcPr>
            <w:tcW w:w="1701" w:type="dxa"/>
            <w:vAlign w:val="center"/>
          </w:tcPr>
          <w:p w14:paraId="0BFB65BD" w14:textId="77777777"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Contact No.</w:t>
            </w:r>
          </w:p>
        </w:tc>
        <w:tc>
          <w:tcPr>
            <w:tcW w:w="2977" w:type="dxa"/>
          </w:tcPr>
          <w:p w14:paraId="467AAFDE" w14:textId="77777777" w:rsidR="00872A8B" w:rsidRPr="00910D22" w:rsidRDefault="00872A8B" w:rsidP="00910D22">
            <w:pPr>
              <w:snapToGrid w:val="0"/>
              <w:rPr>
                <w:rFonts w:ascii="Times New Roman" w:eastAsia="標楷體" w:hAnsi="Times New Roman" w:cs="Times New Roman"/>
              </w:rPr>
            </w:pPr>
          </w:p>
        </w:tc>
      </w:tr>
      <w:tr w:rsidR="00872A8B" w:rsidRPr="00910D22" w14:paraId="45214C7B" w14:textId="77777777" w:rsidTr="00910D22">
        <w:trPr>
          <w:trHeight w:val="1965"/>
        </w:trPr>
        <w:tc>
          <w:tcPr>
            <w:tcW w:w="1844" w:type="dxa"/>
            <w:vAlign w:val="center"/>
          </w:tcPr>
          <w:p w14:paraId="4ED20EF6" w14:textId="77777777"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Reason</w:t>
            </w:r>
          </w:p>
        </w:tc>
        <w:tc>
          <w:tcPr>
            <w:tcW w:w="7371" w:type="dxa"/>
            <w:gridSpan w:val="3"/>
          </w:tcPr>
          <w:p w14:paraId="6B94C39D" w14:textId="77777777" w:rsidR="00872A8B" w:rsidRPr="00910D22" w:rsidRDefault="00510463" w:rsidP="00910D22">
            <w:pPr>
              <w:snapToGrid w:val="0"/>
              <w:rPr>
                <w:rFonts w:ascii="Times New Roman" w:eastAsia="標楷體" w:hAnsi="Times New Roman" w:cs="Times New Roman"/>
              </w:rPr>
            </w:pPr>
            <w:r w:rsidRPr="00910D22">
              <w:rPr>
                <w:rFonts w:ascii="Times New Roman" w:eastAsia="標楷體" w:hAnsi="Times New Roman" w:cs="Times New Roman"/>
              </w:rPr>
              <w:t>Please be sure to explain in detail. No additions to, deletions from, or modifications of the application will be accepted after receipt by the Center.</w:t>
            </w:r>
            <w:r w:rsidRPr="00910D22">
              <w:rPr>
                <w:rFonts w:ascii="Times New Roman" w:hAnsi="Times New Roman" w:cs="Times New Roman"/>
              </w:rPr>
              <w:t xml:space="preserve"> </w:t>
            </w:r>
          </w:p>
        </w:tc>
      </w:tr>
      <w:tr w:rsidR="00872A8B" w:rsidRPr="00910D22" w14:paraId="7A1A32EB" w14:textId="77777777" w:rsidTr="00910D22">
        <w:trPr>
          <w:trHeight w:val="416"/>
        </w:trPr>
        <w:tc>
          <w:tcPr>
            <w:tcW w:w="1844" w:type="dxa"/>
            <w:vAlign w:val="center"/>
          </w:tcPr>
          <w:p w14:paraId="297FDAA2" w14:textId="77777777"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Account Regulations</w:t>
            </w:r>
          </w:p>
          <w:p w14:paraId="28F34B6D" w14:textId="77777777"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and Notices</w:t>
            </w:r>
          </w:p>
        </w:tc>
        <w:tc>
          <w:tcPr>
            <w:tcW w:w="7371" w:type="dxa"/>
            <w:gridSpan w:val="3"/>
            <w:vAlign w:val="center"/>
          </w:tcPr>
          <w:p w14:paraId="18A14E85" w14:textId="77777777" w:rsidR="00872A8B" w:rsidRPr="00910D22" w:rsidRDefault="00510463" w:rsidP="00910D22">
            <w:pPr>
              <w:pStyle w:val="a4"/>
              <w:numPr>
                <w:ilvl w:val="0"/>
                <w:numId w:val="2"/>
              </w:numPr>
              <w:snapToGrid w:val="0"/>
              <w:ind w:leftChars="0"/>
              <w:jc w:val="both"/>
              <w:rPr>
                <w:rFonts w:ascii="Times New Roman" w:eastAsia="標楷體" w:hAnsi="Times New Roman" w:cs="Times New Roman"/>
                <w:sz w:val="22"/>
              </w:rPr>
            </w:pPr>
            <w:r w:rsidRPr="00910D22">
              <w:rPr>
                <w:rFonts w:ascii="Times New Roman" w:eastAsia="標楷體" w:hAnsi="Times New Roman" w:cs="Times New Roman"/>
                <w:sz w:val="22"/>
              </w:rPr>
              <w:t>All accounts are for official use only. NTU retains full rights</w:t>
            </w:r>
            <w:r w:rsidRPr="00910D22">
              <w:rPr>
                <w:rFonts w:ascii="Times New Roman" w:eastAsia="標楷體" w:hAnsi="Times New Roman" w:cs="Times New Roman"/>
                <w:sz w:val="22"/>
              </w:rPr>
              <w:t xml:space="preserve"> and ownership of all accounts. Upon the user's end of employment, their account will be temporarily locked, but with the submission of an application, it can be used during the retention period for official purposes including information searches and busi</w:t>
            </w:r>
            <w:r w:rsidRPr="00910D22">
              <w:rPr>
                <w:rFonts w:ascii="Times New Roman" w:eastAsia="標楷體" w:hAnsi="Times New Roman" w:cs="Times New Roman"/>
                <w:sz w:val="22"/>
              </w:rPr>
              <w:t>ness contacts.</w:t>
            </w:r>
            <w:r w:rsidRPr="00910D22">
              <w:rPr>
                <w:rFonts w:ascii="Times New Roman" w:hAnsi="Times New Roman" w:cs="Times New Roman"/>
              </w:rPr>
              <w:t xml:space="preserve"> </w:t>
            </w:r>
          </w:p>
          <w:p w14:paraId="7F4E0773" w14:textId="77777777" w:rsidR="00872A8B" w:rsidRPr="00910D22" w:rsidRDefault="00510463" w:rsidP="00910D22">
            <w:pPr>
              <w:pStyle w:val="a4"/>
              <w:numPr>
                <w:ilvl w:val="0"/>
                <w:numId w:val="2"/>
              </w:numPr>
              <w:snapToGrid w:val="0"/>
              <w:ind w:leftChars="0"/>
              <w:jc w:val="both"/>
              <w:rPr>
                <w:rFonts w:ascii="Times New Roman" w:eastAsia="標楷體" w:hAnsi="Times New Roman" w:cs="Times New Roman"/>
                <w:sz w:val="22"/>
              </w:rPr>
            </w:pPr>
            <w:r w:rsidRPr="00910D22">
              <w:rPr>
                <w:rFonts w:ascii="Times New Roman" w:eastAsia="標楷體" w:hAnsi="Times New Roman" w:cs="Times New Roman"/>
                <w:sz w:val="22"/>
              </w:rPr>
              <w:t>Applicants shall complete a full backup of all data (myNTU systems, personal webpages, emails, etc.) that will be irrecoverable after account deletion. Email services will also be terminated with all external communication discontinued.</w:t>
            </w:r>
            <w:r w:rsidRPr="00910D22">
              <w:rPr>
                <w:rFonts w:ascii="Times New Roman" w:hAnsi="Times New Roman" w:cs="Times New Roman"/>
              </w:rPr>
              <w:t xml:space="preserve"> </w:t>
            </w:r>
          </w:p>
          <w:p w14:paraId="6F80BD63" w14:textId="77777777" w:rsidR="00872A8B" w:rsidRPr="00910D22" w:rsidRDefault="00510463" w:rsidP="00910D22">
            <w:pPr>
              <w:pStyle w:val="a4"/>
              <w:numPr>
                <w:ilvl w:val="0"/>
                <w:numId w:val="2"/>
              </w:numPr>
              <w:snapToGrid w:val="0"/>
              <w:ind w:leftChars="0"/>
              <w:jc w:val="both"/>
              <w:rPr>
                <w:rFonts w:ascii="Times New Roman" w:eastAsia="標楷體" w:hAnsi="Times New Roman" w:cs="Times New Roman"/>
                <w:b/>
                <w:sz w:val="22"/>
                <w:u w:val="single"/>
              </w:rPr>
            </w:pPr>
            <w:r w:rsidRPr="00910D22">
              <w:rPr>
                <w:rFonts w:ascii="Times New Roman" w:eastAsia="標楷體" w:hAnsi="Times New Roman" w:cs="Times New Roman"/>
                <w:b/>
                <w:sz w:val="22"/>
                <w:u w:val="single"/>
              </w:rPr>
              <w:t>Th</w:t>
            </w:r>
            <w:r w:rsidRPr="00910D22">
              <w:rPr>
                <w:rFonts w:ascii="Times New Roman" w:eastAsia="標楷體" w:hAnsi="Times New Roman" w:cs="Times New Roman"/>
                <w:b/>
                <w:sz w:val="22"/>
                <w:u w:val="single"/>
              </w:rPr>
              <w:t>e applicant and the head of the application unit will be held responsible for all issues arising from account deletion including failure to provide the information requested by law enforcement agencies.</w:t>
            </w:r>
            <w:r w:rsidRPr="00910D22">
              <w:rPr>
                <w:rFonts w:ascii="Times New Roman" w:hAnsi="Times New Roman" w:cs="Times New Roman"/>
              </w:rPr>
              <w:t xml:space="preserve"> </w:t>
            </w:r>
          </w:p>
          <w:p w14:paraId="38EE6D7C" w14:textId="77777777" w:rsidR="00872A8B" w:rsidRPr="00910D22" w:rsidRDefault="00510463" w:rsidP="00910D22">
            <w:pPr>
              <w:pStyle w:val="a4"/>
              <w:numPr>
                <w:ilvl w:val="0"/>
                <w:numId w:val="2"/>
              </w:numPr>
              <w:snapToGrid w:val="0"/>
              <w:ind w:leftChars="0"/>
              <w:jc w:val="both"/>
              <w:rPr>
                <w:rFonts w:ascii="Times New Roman" w:eastAsia="標楷體" w:hAnsi="Times New Roman" w:cs="Times New Roman"/>
                <w:sz w:val="22"/>
              </w:rPr>
            </w:pPr>
            <w:r w:rsidRPr="00910D22">
              <w:rPr>
                <w:rFonts w:ascii="Times New Roman" w:eastAsia="標楷體" w:hAnsi="Times New Roman" w:cs="Times New Roman"/>
                <w:sz w:val="22"/>
              </w:rPr>
              <w:t>The application shall be approved by the head of the</w:t>
            </w:r>
            <w:r w:rsidRPr="00910D22">
              <w:rPr>
                <w:rFonts w:ascii="Times New Roman" w:eastAsia="標楷體" w:hAnsi="Times New Roman" w:cs="Times New Roman"/>
                <w:sz w:val="22"/>
              </w:rPr>
              <w:t xml:space="preserve"> user's employment (or quota-based) unit before being reviewed by the Center for decision.</w:t>
            </w:r>
            <w:r w:rsidRPr="00910D22">
              <w:rPr>
                <w:rFonts w:ascii="Times New Roman" w:hAnsi="Times New Roman" w:cs="Times New Roman"/>
              </w:rPr>
              <w:t xml:space="preserve"> </w:t>
            </w:r>
          </w:p>
          <w:p w14:paraId="2DEB04E4" w14:textId="77777777" w:rsidR="00872A8B" w:rsidRPr="00910D22" w:rsidRDefault="00510463" w:rsidP="00910D22">
            <w:pPr>
              <w:pStyle w:val="a4"/>
              <w:numPr>
                <w:ilvl w:val="0"/>
                <w:numId w:val="2"/>
              </w:numPr>
              <w:snapToGrid w:val="0"/>
              <w:ind w:leftChars="0"/>
              <w:jc w:val="both"/>
              <w:rPr>
                <w:rFonts w:ascii="Times New Roman" w:eastAsia="標楷體" w:hAnsi="Times New Roman" w:cs="Times New Roman"/>
                <w:sz w:val="22"/>
              </w:rPr>
            </w:pPr>
            <w:r w:rsidRPr="00910D22">
              <w:rPr>
                <w:rFonts w:ascii="Times New Roman" w:eastAsia="標楷體" w:hAnsi="Times New Roman" w:cs="Times New Roman"/>
                <w:sz w:val="22"/>
              </w:rPr>
              <w:t>The Center reserves final review rights of applications for all reasons except changes to Chinese name.</w:t>
            </w:r>
            <w:r w:rsidRPr="00910D22">
              <w:rPr>
                <w:rFonts w:ascii="Times New Roman" w:hAnsi="Times New Roman" w:cs="Times New Roman"/>
              </w:rPr>
              <w:t xml:space="preserve"> </w:t>
            </w:r>
          </w:p>
          <w:p w14:paraId="2C276650" w14:textId="77777777" w:rsidR="00872A8B" w:rsidRPr="00910D22" w:rsidRDefault="00510463" w:rsidP="00910D22">
            <w:pPr>
              <w:pStyle w:val="a4"/>
              <w:numPr>
                <w:ilvl w:val="0"/>
                <w:numId w:val="2"/>
              </w:numPr>
              <w:snapToGrid w:val="0"/>
              <w:ind w:leftChars="0"/>
              <w:jc w:val="both"/>
              <w:rPr>
                <w:rFonts w:ascii="Times New Roman" w:eastAsia="標楷體" w:hAnsi="Times New Roman" w:cs="Times New Roman"/>
                <w:sz w:val="22"/>
              </w:rPr>
            </w:pPr>
            <w:r w:rsidRPr="00910D22">
              <w:rPr>
                <w:rFonts w:ascii="Times New Roman" w:eastAsia="標楷體" w:hAnsi="Times New Roman" w:cs="Times New Roman"/>
                <w:sz w:val="22"/>
              </w:rPr>
              <w:t xml:space="preserve">Account deletions involving multiple data systems and coordination with other units will be processed in monthly batches. Processing time: estimated </w:t>
            </w:r>
            <w:r w:rsidRPr="00910D22">
              <w:rPr>
                <w:rFonts w:ascii="Times New Roman" w:eastAsia="標楷體" w:hAnsi="Times New Roman" w:cs="Times New Roman"/>
                <w:b/>
                <w:bCs/>
                <w:sz w:val="22"/>
              </w:rPr>
              <w:t>15</w:t>
            </w:r>
            <w:r w:rsidRPr="00910D22">
              <w:rPr>
                <w:rFonts w:ascii="Times New Roman" w:eastAsia="標楷體" w:hAnsi="Times New Roman" w:cs="Times New Roman"/>
                <w:sz w:val="22"/>
              </w:rPr>
              <w:t xml:space="preserve"> working days after receipt and approval of the application.</w:t>
            </w:r>
            <w:r w:rsidRPr="00910D22">
              <w:rPr>
                <w:rFonts w:ascii="Times New Roman" w:hAnsi="Times New Roman" w:cs="Times New Roman"/>
              </w:rPr>
              <w:t xml:space="preserve"> </w:t>
            </w:r>
          </w:p>
          <w:p w14:paraId="7E8CC979" w14:textId="77777777" w:rsidR="00872A8B" w:rsidRPr="00910D22" w:rsidRDefault="00510463" w:rsidP="00910D22">
            <w:pPr>
              <w:pStyle w:val="a4"/>
              <w:numPr>
                <w:ilvl w:val="0"/>
                <w:numId w:val="2"/>
              </w:numPr>
              <w:snapToGrid w:val="0"/>
              <w:ind w:leftChars="0"/>
              <w:jc w:val="both"/>
              <w:rPr>
                <w:rFonts w:ascii="Times New Roman" w:eastAsia="標楷體" w:hAnsi="Times New Roman" w:cs="Times New Roman"/>
              </w:rPr>
            </w:pPr>
            <w:r w:rsidRPr="00910D22">
              <w:rPr>
                <w:rFonts w:ascii="Times New Roman" w:eastAsia="標楷體" w:hAnsi="Times New Roman" w:cs="Times New Roman"/>
                <w:sz w:val="22"/>
              </w:rPr>
              <w:t>Our unit declares that we have a full under</w:t>
            </w:r>
            <w:r w:rsidRPr="00910D22">
              <w:rPr>
                <w:rFonts w:ascii="Times New Roman" w:eastAsia="標楷體" w:hAnsi="Times New Roman" w:cs="Times New Roman"/>
                <w:sz w:val="22"/>
              </w:rPr>
              <w:t>standing of the matters above with completed risk control management. We hereby request that the Center accept this application for processing.</w:t>
            </w:r>
            <w:r w:rsidRPr="00910D22">
              <w:rPr>
                <w:rFonts w:ascii="Times New Roman" w:hAnsi="Times New Roman" w:cs="Times New Roman"/>
              </w:rPr>
              <w:t xml:space="preserve"> </w:t>
            </w:r>
          </w:p>
        </w:tc>
      </w:tr>
      <w:tr w:rsidR="00872A8B" w:rsidRPr="00910D22" w14:paraId="0D35AA7B" w14:textId="77777777" w:rsidTr="00910D22">
        <w:trPr>
          <w:trHeight w:val="607"/>
        </w:trPr>
        <w:tc>
          <w:tcPr>
            <w:tcW w:w="1844" w:type="dxa"/>
            <w:vMerge w:val="restart"/>
            <w:vAlign w:val="center"/>
          </w:tcPr>
          <w:p w14:paraId="5A206D43" w14:textId="77777777"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Signature or Seal of Processing Clerk</w:t>
            </w:r>
          </w:p>
        </w:tc>
        <w:tc>
          <w:tcPr>
            <w:tcW w:w="2693" w:type="dxa"/>
            <w:vMerge w:val="restart"/>
          </w:tcPr>
          <w:p w14:paraId="290C81FA" w14:textId="77777777" w:rsidR="00872A8B" w:rsidRPr="00910D22" w:rsidRDefault="00872A8B" w:rsidP="00910D22">
            <w:pPr>
              <w:snapToGrid w:val="0"/>
              <w:rPr>
                <w:rFonts w:ascii="Times New Roman" w:eastAsia="標楷體" w:hAnsi="Times New Roman" w:cs="Times New Roman"/>
              </w:rPr>
            </w:pPr>
          </w:p>
        </w:tc>
        <w:tc>
          <w:tcPr>
            <w:tcW w:w="1701" w:type="dxa"/>
            <w:vAlign w:val="center"/>
          </w:tcPr>
          <w:p w14:paraId="5FE3171B" w14:textId="77777777"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Contact No.</w:t>
            </w:r>
          </w:p>
        </w:tc>
        <w:tc>
          <w:tcPr>
            <w:tcW w:w="2977" w:type="dxa"/>
            <w:vAlign w:val="center"/>
          </w:tcPr>
          <w:p w14:paraId="25FA44FF" w14:textId="77777777" w:rsidR="00872A8B" w:rsidRPr="00910D22" w:rsidRDefault="00872A8B" w:rsidP="00910D22">
            <w:pPr>
              <w:snapToGrid w:val="0"/>
              <w:jc w:val="both"/>
              <w:rPr>
                <w:rFonts w:ascii="Times New Roman" w:eastAsia="標楷體" w:hAnsi="Times New Roman" w:cs="Times New Roman"/>
              </w:rPr>
            </w:pPr>
          </w:p>
        </w:tc>
      </w:tr>
      <w:tr w:rsidR="00872A8B" w:rsidRPr="00910D22" w14:paraId="76BBC169" w14:textId="77777777" w:rsidTr="00910D22">
        <w:trPr>
          <w:trHeight w:val="469"/>
        </w:trPr>
        <w:tc>
          <w:tcPr>
            <w:tcW w:w="1844" w:type="dxa"/>
            <w:vMerge/>
            <w:vAlign w:val="center"/>
          </w:tcPr>
          <w:p w14:paraId="5ED9DADE" w14:textId="77777777" w:rsidR="00872A8B" w:rsidRPr="00910D22" w:rsidRDefault="00872A8B" w:rsidP="00910D22">
            <w:pPr>
              <w:snapToGrid w:val="0"/>
              <w:jc w:val="center"/>
              <w:rPr>
                <w:rFonts w:ascii="Times New Roman" w:eastAsia="標楷體" w:hAnsi="Times New Roman" w:cs="Times New Roman"/>
              </w:rPr>
            </w:pPr>
          </w:p>
        </w:tc>
        <w:tc>
          <w:tcPr>
            <w:tcW w:w="2693" w:type="dxa"/>
            <w:vMerge/>
          </w:tcPr>
          <w:p w14:paraId="66AE5A9A" w14:textId="77777777" w:rsidR="00872A8B" w:rsidRPr="00910D22" w:rsidRDefault="00872A8B" w:rsidP="00910D22">
            <w:pPr>
              <w:snapToGrid w:val="0"/>
              <w:rPr>
                <w:rFonts w:ascii="Times New Roman" w:eastAsia="標楷體" w:hAnsi="Times New Roman" w:cs="Times New Roman"/>
              </w:rPr>
            </w:pPr>
          </w:p>
        </w:tc>
        <w:tc>
          <w:tcPr>
            <w:tcW w:w="1701" w:type="dxa"/>
            <w:vAlign w:val="center"/>
          </w:tcPr>
          <w:p w14:paraId="49D6AB9F" w14:textId="77777777"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Email</w:t>
            </w:r>
          </w:p>
        </w:tc>
        <w:tc>
          <w:tcPr>
            <w:tcW w:w="2977" w:type="dxa"/>
            <w:vAlign w:val="bottom"/>
          </w:tcPr>
          <w:p w14:paraId="4B82DF42" w14:textId="77777777" w:rsidR="00872A8B" w:rsidRPr="00910D22" w:rsidRDefault="00510463" w:rsidP="00910D22">
            <w:pPr>
              <w:snapToGrid w:val="0"/>
              <w:jc w:val="right"/>
              <w:rPr>
                <w:rFonts w:ascii="Times New Roman" w:eastAsia="標楷體" w:hAnsi="Times New Roman" w:cs="Times New Roman"/>
              </w:rPr>
            </w:pPr>
            <w:r w:rsidRPr="00910D22">
              <w:rPr>
                <w:rFonts w:ascii="Times New Roman" w:eastAsia="標楷體" w:hAnsi="Times New Roman" w:cs="Times New Roman"/>
              </w:rPr>
              <w:t>@ntu.edu.tw</w:t>
            </w:r>
          </w:p>
        </w:tc>
      </w:tr>
      <w:tr w:rsidR="00872A8B" w:rsidRPr="00910D22" w14:paraId="4606101E" w14:textId="77777777" w:rsidTr="00910D22">
        <w:trPr>
          <w:trHeight w:val="70"/>
        </w:trPr>
        <w:tc>
          <w:tcPr>
            <w:tcW w:w="1844" w:type="dxa"/>
            <w:vAlign w:val="center"/>
          </w:tcPr>
          <w:p w14:paraId="2926890C" w14:textId="67A1D7EF"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Signature or Seal of the Head of the Preliminary Processing Unit</w:t>
            </w:r>
            <w:r w:rsidR="00910D22">
              <w:rPr>
                <w:rFonts w:ascii="Times New Roman" w:eastAsia="標楷體" w:hAnsi="Times New Roman" w:cs="Times New Roman"/>
              </w:rPr>
              <w:t xml:space="preserve"> </w:t>
            </w:r>
            <w:r w:rsidRPr="00910D22">
              <w:rPr>
                <w:rFonts w:ascii="Times New Roman" w:eastAsia="標楷體" w:hAnsi="Times New Roman" w:cs="Times New Roman"/>
              </w:rPr>
              <w:t>(</w:t>
            </w:r>
            <w:r w:rsidRPr="00910D22">
              <w:rPr>
                <w:rFonts w:ascii="Times New Roman" w:eastAsia="標楷體" w:hAnsi="Times New Roman" w:cs="Times New Roman"/>
              </w:rPr>
              <w:t>department, graduate institute, or division)</w:t>
            </w:r>
          </w:p>
        </w:tc>
        <w:tc>
          <w:tcPr>
            <w:tcW w:w="2693" w:type="dxa"/>
          </w:tcPr>
          <w:p w14:paraId="46645F0F" w14:textId="77777777" w:rsidR="00872A8B" w:rsidRPr="00910D22" w:rsidRDefault="00872A8B" w:rsidP="00910D22">
            <w:pPr>
              <w:snapToGrid w:val="0"/>
              <w:rPr>
                <w:rFonts w:ascii="Times New Roman" w:eastAsia="標楷體" w:hAnsi="Times New Roman" w:cs="Times New Roman"/>
              </w:rPr>
            </w:pPr>
          </w:p>
        </w:tc>
        <w:tc>
          <w:tcPr>
            <w:tcW w:w="1701" w:type="dxa"/>
            <w:vAlign w:val="center"/>
          </w:tcPr>
          <w:p w14:paraId="52A16ABF" w14:textId="78BFF236" w:rsidR="00872A8B" w:rsidRPr="00910D22" w:rsidRDefault="00510463" w:rsidP="00910D22">
            <w:pPr>
              <w:snapToGrid w:val="0"/>
              <w:jc w:val="center"/>
              <w:rPr>
                <w:rFonts w:ascii="Times New Roman" w:eastAsia="標楷體" w:hAnsi="Times New Roman" w:cs="Times New Roman"/>
              </w:rPr>
            </w:pPr>
            <w:r w:rsidRPr="00910D22">
              <w:rPr>
                <w:rFonts w:ascii="Times New Roman" w:eastAsia="標楷體" w:hAnsi="Times New Roman" w:cs="Times New Roman"/>
              </w:rPr>
              <w:t>Signature or Seal of the Head of the Final Processing Unit</w:t>
            </w:r>
            <w:r w:rsidR="00910D22">
              <w:rPr>
                <w:rFonts w:ascii="Times New Roman" w:eastAsia="標楷體" w:hAnsi="Times New Roman" w:cs="Times New Roman"/>
              </w:rPr>
              <w:t xml:space="preserve"> </w:t>
            </w:r>
            <w:r w:rsidRPr="00910D22">
              <w:rPr>
                <w:rFonts w:ascii="Times New Roman" w:eastAsia="標楷體" w:hAnsi="Times New Roman" w:cs="Times New Roman"/>
              </w:rPr>
              <w:t>(</w:t>
            </w:r>
            <w:r w:rsidRPr="00910D22">
              <w:rPr>
                <w:rFonts w:ascii="Times New Roman" w:eastAsia="標楷體" w:hAnsi="Times New Roman" w:cs="Times New Roman"/>
              </w:rPr>
              <w:t>college or office)</w:t>
            </w:r>
          </w:p>
        </w:tc>
        <w:tc>
          <w:tcPr>
            <w:tcW w:w="2977" w:type="dxa"/>
          </w:tcPr>
          <w:p w14:paraId="15890EB6" w14:textId="77777777" w:rsidR="00872A8B" w:rsidRPr="00910D22" w:rsidRDefault="00872A8B" w:rsidP="00910D22">
            <w:pPr>
              <w:snapToGrid w:val="0"/>
              <w:rPr>
                <w:rFonts w:ascii="Times New Roman" w:eastAsia="標楷體" w:hAnsi="Times New Roman" w:cs="Times New Roman"/>
              </w:rPr>
            </w:pPr>
          </w:p>
        </w:tc>
      </w:tr>
    </w:tbl>
    <w:p w14:paraId="71A52AFC" w14:textId="5F2266C7" w:rsidR="00872A8B" w:rsidRPr="00910D22" w:rsidRDefault="00510463" w:rsidP="00910D22">
      <w:pPr>
        <w:tabs>
          <w:tab w:val="left" w:pos="6096"/>
        </w:tabs>
        <w:rPr>
          <w:rFonts w:ascii="Times New Roman" w:eastAsia="標楷體" w:hAnsi="Times New Roman" w:cs="Times New Roman"/>
        </w:rPr>
      </w:pPr>
      <w:r w:rsidRPr="00910D22">
        <w:rPr>
          <w:rFonts w:ascii="Times New Roman" w:eastAsia="標楷體" w:hAnsi="Times New Roman" w:cs="Times New Roman"/>
          <w:kern w:val="0"/>
        </w:rPr>
        <w:t xml:space="preserve">Form No. QP-AC40-02-05 </w:t>
      </w:r>
      <w:r w:rsidR="00910D22">
        <w:rPr>
          <w:rFonts w:ascii="Times New Roman" w:eastAsia="標楷體" w:hAnsi="Times New Roman" w:cs="Times New Roman"/>
          <w:kern w:val="0"/>
        </w:rPr>
        <w:tab/>
      </w:r>
      <w:r w:rsidRPr="00910D22">
        <w:rPr>
          <w:rFonts w:ascii="Times New Roman" w:eastAsia="標楷體" w:hAnsi="Times New Roman" w:cs="Times New Roman"/>
          <w:kern w:val="0"/>
        </w:rPr>
        <w:t xml:space="preserve"> Form Ver. 2020/07/30</w:t>
      </w:r>
    </w:p>
    <w:sectPr w:rsidR="00872A8B" w:rsidRPr="00910D22">
      <w:pgSz w:w="11906" w:h="16838"/>
      <w:pgMar w:top="1134" w:right="1644"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1B47" w14:textId="77777777" w:rsidR="00510463" w:rsidRDefault="00510463">
      <w:r>
        <w:separator/>
      </w:r>
    </w:p>
  </w:endnote>
  <w:endnote w:type="continuationSeparator" w:id="0">
    <w:p w14:paraId="3133753E" w14:textId="77777777" w:rsidR="00510463" w:rsidRDefault="0051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67E8" w14:textId="77777777" w:rsidR="00510463" w:rsidRDefault="00510463">
      <w:r>
        <w:separator/>
      </w:r>
    </w:p>
  </w:footnote>
  <w:footnote w:type="continuationSeparator" w:id="0">
    <w:p w14:paraId="7DBE398D" w14:textId="77777777" w:rsidR="00510463" w:rsidRDefault="00510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78D8"/>
    <w:multiLevelType w:val="hybridMultilevel"/>
    <w:tmpl w:val="F87444E2"/>
    <w:lvl w:ilvl="0" w:tplc="1A4C4A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5F11774"/>
    <w:multiLevelType w:val="hybridMultilevel"/>
    <w:tmpl w:val="C3E82C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0B9"/>
    <w:rsid w:val="00024757"/>
    <w:rsid w:val="000825F7"/>
    <w:rsid w:val="000B0DA3"/>
    <w:rsid w:val="000E7C54"/>
    <w:rsid w:val="001061C2"/>
    <w:rsid w:val="0013783E"/>
    <w:rsid w:val="001670B9"/>
    <w:rsid w:val="00181CED"/>
    <w:rsid w:val="00191C1C"/>
    <w:rsid w:val="001D5B35"/>
    <w:rsid w:val="00286A9B"/>
    <w:rsid w:val="00315CF4"/>
    <w:rsid w:val="003223BA"/>
    <w:rsid w:val="0033608E"/>
    <w:rsid w:val="00374481"/>
    <w:rsid w:val="003E4B07"/>
    <w:rsid w:val="00436484"/>
    <w:rsid w:val="004812C3"/>
    <w:rsid w:val="004D0B94"/>
    <w:rsid w:val="00510463"/>
    <w:rsid w:val="005F0575"/>
    <w:rsid w:val="00622288"/>
    <w:rsid w:val="0062269C"/>
    <w:rsid w:val="0066228C"/>
    <w:rsid w:val="006B02A5"/>
    <w:rsid w:val="007349AB"/>
    <w:rsid w:val="00745377"/>
    <w:rsid w:val="00764EF9"/>
    <w:rsid w:val="00872A8B"/>
    <w:rsid w:val="008967CE"/>
    <w:rsid w:val="008F4949"/>
    <w:rsid w:val="00910D22"/>
    <w:rsid w:val="00A22F1D"/>
    <w:rsid w:val="00A9784A"/>
    <w:rsid w:val="00B0020D"/>
    <w:rsid w:val="00B923AD"/>
    <w:rsid w:val="00BB2D5D"/>
    <w:rsid w:val="00BC5122"/>
    <w:rsid w:val="00C34A75"/>
    <w:rsid w:val="00C60E3A"/>
    <w:rsid w:val="00C926EB"/>
    <w:rsid w:val="00D823E6"/>
    <w:rsid w:val="00D87F5A"/>
    <w:rsid w:val="00DA02A3"/>
    <w:rsid w:val="00E43CA8"/>
    <w:rsid w:val="00E90FC5"/>
    <w:rsid w:val="00EA10DC"/>
    <w:rsid w:val="00EE2933"/>
    <w:rsid w:val="00EE431B"/>
    <w:rsid w:val="00F17B51"/>
    <w:rsid w:val="00F4006B"/>
    <w:rsid w:val="00F56B93"/>
    <w:rsid w:val="00F60C4C"/>
    <w:rsid w:val="00F821BB"/>
    <w:rsid w:val="00FC2C51"/>
    <w:rsid w:val="00FD3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649A"/>
  <w15:docId w15:val="{377ADBBA-EDEE-41EB-ADAC-F83B63FD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7F5A"/>
    <w:pPr>
      <w:ind w:leftChars="200" w:left="480"/>
    </w:pPr>
  </w:style>
  <w:style w:type="paragraph" w:styleId="a5">
    <w:name w:val="header"/>
    <w:basedOn w:val="a"/>
    <w:link w:val="a6"/>
    <w:uiPriority w:val="99"/>
    <w:unhideWhenUsed/>
    <w:rsid w:val="00F17B51"/>
    <w:pPr>
      <w:tabs>
        <w:tab w:val="center" w:pos="4153"/>
        <w:tab w:val="right" w:pos="8306"/>
      </w:tabs>
      <w:snapToGrid w:val="0"/>
    </w:pPr>
    <w:rPr>
      <w:sz w:val="20"/>
      <w:szCs w:val="20"/>
    </w:rPr>
  </w:style>
  <w:style w:type="character" w:customStyle="1" w:styleId="a6">
    <w:name w:val="頁首 字元"/>
    <w:basedOn w:val="a0"/>
    <w:link w:val="a5"/>
    <w:uiPriority w:val="99"/>
    <w:rsid w:val="00F17B51"/>
    <w:rPr>
      <w:sz w:val="20"/>
      <w:szCs w:val="20"/>
    </w:rPr>
  </w:style>
  <w:style w:type="paragraph" w:styleId="a7">
    <w:name w:val="footer"/>
    <w:basedOn w:val="a"/>
    <w:link w:val="a8"/>
    <w:uiPriority w:val="99"/>
    <w:unhideWhenUsed/>
    <w:rsid w:val="00F17B51"/>
    <w:pPr>
      <w:tabs>
        <w:tab w:val="center" w:pos="4153"/>
        <w:tab w:val="right" w:pos="8306"/>
      </w:tabs>
      <w:snapToGrid w:val="0"/>
    </w:pPr>
    <w:rPr>
      <w:sz w:val="20"/>
      <w:szCs w:val="20"/>
    </w:rPr>
  </w:style>
  <w:style w:type="character" w:customStyle="1" w:styleId="a8">
    <w:name w:val="頁尾 字元"/>
    <w:basedOn w:val="a0"/>
    <w:link w:val="a7"/>
    <w:uiPriority w:val="99"/>
    <w:rsid w:val="00F17B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313</Words>
  <Characters>1850</Characters>
  <Application>Microsoft Office Word</Application>
  <DocSecurity>0</DocSecurity>
  <Lines>66</Lines>
  <Paragraphs>21</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Chang</dc:creator>
  <cp:lastModifiedBy>立言翻譯</cp:lastModifiedBy>
  <cp:revision>37</cp:revision>
  <dcterms:created xsi:type="dcterms:W3CDTF">2015-08-25T06:01:00Z</dcterms:created>
  <dcterms:modified xsi:type="dcterms:W3CDTF">2023-05-16T07:19:00Z</dcterms:modified>
</cp:coreProperties>
</file>